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1BF" w:rsidRPr="008C09F1" w:rsidRDefault="007131BF" w:rsidP="008C09F1">
      <w:pPr>
        <w:tabs>
          <w:tab w:val="left" w:pos="3402"/>
          <w:tab w:val="left" w:pos="5670"/>
          <w:tab w:val="right" w:pos="10065"/>
        </w:tabs>
        <w:jc w:val="both"/>
        <w:rPr>
          <w:b/>
          <w:sz w:val="28"/>
          <w:szCs w:val="28"/>
        </w:rPr>
      </w:pPr>
      <w:bookmarkStart w:id="0" w:name="_GoBack"/>
      <w:bookmarkEnd w:id="0"/>
    </w:p>
    <w:p w:rsidR="007131BF" w:rsidRPr="008C09F1" w:rsidRDefault="007131BF" w:rsidP="008C09F1">
      <w:pPr>
        <w:pBdr>
          <w:top w:val="single" w:sz="6" w:space="1" w:color="auto"/>
          <w:left w:val="single" w:sz="6" w:space="1" w:color="auto"/>
          <w:bottom w:val="single" w:sz="6" w:space="1" w:color="auto"/>
          <w:right w:val="single" w:sz="6" w:space="1" w:color="auto"/>
        </w:pBdr>
        <w:tabs>
          <w:tab w:val="left" w:pos="3402"/>
          <w:tab w:val="left" w:pos="5670"/>
          <w:tab w:val="right" w:pos="10065"/>
        </w:tabs>
        <w:jc w:val="both"/>
        <w:rPr>
          <w:b/>
          <w:sz w:val="28"/>
          <w:szCs w:val="28"/>
        </w:rPr>
      </w:pPr>
    </w:p>
    <w:p w:rsidR="007131BF" w:rsidRPr="008C09F1" w:rsidRDefault="007131BF" w:rsidP="008C09F1">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szCs w:val="28"/>
        </w:rPr>
      </w:pPr>
      <w:r w:rsidRPr="008C09F1">
        <w:rPr>
          <w:b/>
          <w:sz w:val="28"/>
          <w:szCs w:val="28"/>
        </w:rPr>
        <w:t>Créer organisation d’achats</w:t>
      </w:r>
    </w:p>
    <w:p w:rsidR="007131BF" w:rsidRPr="008C09F1" w:rsidRDefault="007131BF" w:rsidP="008C09F1">
      <w:pPr>
        <w:pBdr>
          <w:top w:val="single" w:sz="6" w:space="1" w:color="auto"/>
          <w:left w:val="single" w:sz="6" w:space="1" w:color="auto"/>
          <w:bottom w:val="single" w:sz="6" w:space="1" w:color="auto"/>
          <w:right w:val="single" w:sz="6" w:space="1" w:color="auto"/>
        </w:pBdr>
        <w:tabs>
          <w:tab w:val="left" w:pos="3402"/>
          <w:tab w:val="left" w:pos="5670"/>
          <w:tab w:val="right" w:pos="10065"/>
        </w:tabs>
        <w:jc w:val="both"/>
        <w:rPr>
          <w:b/>
          <w:sz w:val="28"/>
          <w:szCs w:val="28"/>
        </w:rPr>
      </w:pPr>
    </w:p>
    <w:p w:rsidR="007131BF" w:rsidRPr="008C09F1" w:rsidRDefault="007131BF" w:rsidP="008C09F1">
      <w:pPr>
        <w:pStyle w:val="Titre1"/>
        <w:jc w:val="both"/>
      </w:pPr>
      <w:bookmarkStart w:id="1" w:name="_Toc445111439"/>
      <w:bookmarkStart w:id="2" w:name="_Toc445113838"/>
      <w:r w:rsidRPr="008C09F1">
        <w:t>Chemin IMG</w:t>
      </w:r>
      <w:bookmarkEnd w:id="1"/>
      <w:bookmarkEnd w:id="2"/>
    </w:p>
    <w:p w:rsidR="007131BF" w:rsidRPr="008C09F1" w:rsidRDefault="007131BF" w:rsidP="008C09F1">
      <w:pPr>
        <w:jc w:val="both"/>
        <w:rPr>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7131BF" w:rsidRPr="008C09F1">
        <w:tblPrEx>
          <w:tblCellMar>
            <w:top w:w="0" w:type="dxa"/>
            <w:bottom w:w="0" w:type="dxa"/>
          </w:tblCellMar>
        </w:tblPrEx>
        <w:tc>
          <w:tcPr>
            <w:tcW w:w="10277" w:type="dxa"/>
          </w:tcPr>
          <w:p w:rsidR="008C09F1" w:rsidRDefault="008C09F1" w:rsidP="008C09F1">
            <w:pPr>
              <w:jc w:val="both"/>
              <w:rPr>
                <w:color w:val="0000FF"/>
                <w:sz w:val="28"/>
                <w:szCs w:val="28"/>
              </w:rPr>
            </w:pPr>
          </w:p>
          <w:p w:rsidR="008C09F1" w:rsidRPr="008C09F1" w:rsidRDefault="007131BF" w:rsidP="008C09F1">
            <w:pPr>
              <w:jc w:val="both"/>
              <w:rPr>
                <w:color w:val="0000FF"/>
                <w:sz w:val="28"/>
                <w:szCs w:val="28"/>
              </w:rPr>
            </w:pPr>
            <w:r w:rsidRPr="008C09F1">
              <w:rPr>
                <w:color w:val="0000FF"/>
                <w:sz w:val="28"/>
                <w:szCs w:val="28"/>
              </w:rPr>
              <w:t>Structure de l’entreprise/</w:t>
            </w:r>
            <w:r w:rsidR="008C09F1">
              <w:rPr>
                <w:color w:val="0000FF"/>
                <w:sz w:val="28"/>
                <w:szCs w:val="28"/>
              </w:rPr>
              <w:t>Définition/Gestion des articles</w:t>
            </w:r>
            <w:r w:rsidRPr="008C09F1">
              <w:rPr>
                <w:color w:val="0000FF"/>
                <w:sz w:val="28"/>
                <w:szCs w:val="28"/>
              </w:rPr>
              <w:t>/</w:t>
            </w:r>
            <w:r w:rsidR="008C09F1" w:rsidRPr="008C09F1">
              <w:rPr>
                <w:color w:val="0000FF"/>
                <w:sz w:val="28"/>
                <w:szCs w:val="28"/>
              </w:rPr>
              <w:t xml:space="preserve">Gérer organisation d'achats </w:t>
            </w:r>
          </w:p>
        </w:tc>
      </w:tr>
    </w:tbl>
    <w:p w:rsidR="007131BF" w:rsidRDefault="007131BF" w:rsidP="008C09F1">
      <w:pPr>
        <w:jc w:val="both"/>
        <w:rPr>
          <w:sz w:val="28"/>
          <w:szCs w:val="28"/>
        </w:rPr>
      </w:pPr>
    </w:p>
    <w:p w:rsidR="008C09F1" w:rsidRDefault="008A12E0" w:rsidP="008C09F1">
      <w:pPr>
        <w:jc w:val="both"/>
        <w:rPr>
          <w:sz w:val="28"/>
          <w:szCs w:val="28"/>
        </w:rPr>
      </w:pPr>
      <w:r>
        <w:rPr>
          <w:noProof/>
          <w:sz w:val="28"/>
          <w:szCs w:val="28"/>
        </w:rPr>
        <w:drawing>
          <wp:inline distT="0" distB="0" distL="0" distR="0">
            <wp:extent cx="6469380" cy="4853940"/>
            <wp:effectExtent l="19050" t="19050" r="26670" b="2286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9380" cy="4853940"/>
                    </a:xfrm>
                    <a:prstGeom prst="rect">
                      <a:avLst/>
                    </a:prstGeom>
                    <a:noFill/>
                    <a:ln w="6350" cmpd="sng">
                      <a:solidFill>
                        <a:srgbClr val="000000"/>
                      </a:solidFill>
                      <a:miter lim="800000"/>
                      <a:headEnd/>
                      <a:tailEnd/>
                    </a:ln>
                    <a:effectLst/>
                  </pic:spPr>
                </pic:pic>
              </a:graphicData>
            </a:graphic>
          </wp:inline>
        </w:drawing>
      </w:r>
    </w:p>
    <w:p w:rsidR="008C09F1" w:rsidRPr="008C09F1" w:rsidRDefault="008C09F1" w:rsidP="008C09F1">
      <w:pPr>
        <w:jc w:val="both"/>
        <w:rPr>
          <w:sz w:val="28"/>
          <w:szCs w:val="28"/>
        </w:rPr>
      </w:pPr>
    </w:p>
    <w:p w:rsidR="007131BF" w:rsidRPr="008C09F1" w:rsidRDefault="007131BF" w:rsidP="008C09F1">
      <w:pPr>
        <w:pStyle w:val="Titre1"/>
        <w:jc w:val="both"/>
      </w:pPr>
      <w:bookmarkStart w:id="3" w:name="_Toc445111440"/>
      <w:bookmarkStart w:id="4" w:name="_Toc445113839"/>
      <w:r w:rsidRPr="008C09F1">
        <w:t>Transaction</w:t>
      </w:r>
      <w:bookmarkEnd w:id="3"/>
      <w:bookmarkEnd w:id="4"/>
    </w:p>
    <w:p w:rsidR="007131BF" w:rsidRPr="008C09F1" w:rsidRDefault="007131BF" w:rsidP="008C09F1">
      <w:pPr>
        <w:jc w:val="both"/>
        <w:rPr>
          <w:sz w:val="28"/>
          <w:szCs w:val="28"/>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7131BF" w:rsidRPr="008C09F1">
        <w:tblPrEx>
          <w:tblCellMar>
            <w:top w:w="0" w:type="dxa"/>
            <w:bottom w:w="0" w:type="dxa"/>
          </w:tblCellMar>
        </w:tblPrEx>
        <w:tc>
          <w:tcPr>
            <w:tcW w:w="5172" w:type="dxa"/>
          </w:tcPr>
          <w:p w:rsidR="007131BF" w:rsidRPr="008C09F1" w:rsidRDefault="007131BF" w:rsidP="008C09F1">
            <w:pPr>
              <w:jc w:val="both"/>
              <w:rPr>
                <w:b/>
                <w:sz w:val="28"/>
                <w:szCs w:val="28"/>
              </w:rPr>
            </w:pPr>
            <w:r w:rsidRPr="008C09F1">
              <w:rPr>
                <w:b/>
                <w:sz w:val="28"/>
                <w:szCs w:val="28"/>
              </w:rPr>
              <w:lastRenderedPageBreak/>
              <w:t>CODE TRANSACTION :</w:t>
            </w:r>
          </w:p>
        </w:tc>
        <w:tc>
          <w:tcPr>
            <w:tcW w:w="5104" w:type="dxa"/>
          </w:tcPr>
          <w:p w:rsidR="007131BF" w:rsidRPr="008C09F1" w:rsidRDefault="007131BF" w:rsidP="008C09F1">
            <w:pPr>
              <w:jc w:val="both"/>
              <w:rPr>
                <w:b/>
                <w:sz w:val="28"/>
                <w:szCs w:val="28"/>
              </w:rPr>
            </w:pPr>
            <w:r w:rsidRPr="008C09F1">
              <w:rPr>
                <w:b/>
                <w:sz w:val="28"/>
                <w:szCs w:val="28"/>
              </w:rPr>
              <w:t>LIBELLE TRANSACTION:</w:t>
            </w:r>
          </w:p>
        </w:tc>
      </w:tr>
      <w:tr w:rsidR="007131BF" w:rsidRPr="008C09F1">
        <w:tblPrEx>
          <w:tblCellMar>
            <w:top w:w="0" w:type="dxa"/>
            <w:bottom w:w="0" w:type="dxa"/>
          </w:tblCellMar>
        </w:tblPrEx>
        <w:tc>
          <w:tcPr>
            <w:tcW w:w="5172" w:type="dxa"/>
          </w:tcPr>
          <w:p w:rsidR="007131BF" w:rsidRPr="008C09F1" w:rsidRDefault="007131BF" w:rsidP="008C09F1">
            <w:pPr>
              <w:jc w:val="both"/>
              <w:rPr>
                <w:b/>
                <w:sz w:val="28"/>
                <w:szCs w:val="28"/>
              </w:rPr>
            </w:pPr>
            <w:r w:rsidRPr="008C09F1">
              <w:rPr>
                <w:b/>
                <w:sz w:val="28"/>
                <w:szCs w:val="28"/>
              </w:rPr>
              <w:t>OX08</w:t>
            </w:r>
          </w:p>
        </w:tc>
        <w:tc>
          <w:tcPr>
            <w:tcW w:w="5104" w:type="dxa"/>
          </w:tcPr>
          <w:p w:rsidR="007131BF" w:rsidRDefault="007131BF" w:rsidP="008C09F1">
            <w:pPr>
              <w:jc w:val="both"/>
              <w:rPr>
                <w:b/>
                <w:sz w:val="28"/>
                <w:szCs w:val="28"/>
              </w:rPr>
            </w:pPr>
            <w:r w:rsidRPr="008C09F1">
              <w:rPr>
                <w:b/>
                <w:sz w:val="28"/>
                <w:szCs w:val="28"/>
              </w:rPr>
              <w:t>Modifier vue ‘Organisation d’achats’</w:t>
            </w:r>
          </w:p>
          <w:p w:rsidR="008C09F1" w:rsidRDefault="008C09F1" w:rsidP="008C09F1">
            <w:pPr>
              <w:jc w:val="both"/>
              <w:rPr>
                <w:b/>
                <w:sz w:val="28"/>
                <w:szCs w:val="28"/>
              </w:rPr>
            </w:pPr>
          </w:p>
          <w:p w:rsidR="008C09F1" w:rsidRPr="008C09F1" w:rsidRDefault="008C09F1" w:rsidP="008C09F1">
            <w:pPr>
              <w:jc w:val="both"/>
              <w:rPr>
                <w:b/>
                <w:sz w:val="28"/>
                <w:szCs w:val="28"/>
              </w:rPr>
            </w:pPr>
            <w:r w:rsidRPr="008C09F1">
              <w:rPr>
                <w:b/>
                <w:sz w:val="28"/>
                <w:szCs w:val="28"/>
              </w:rPr>
              <w:t>Déf. organisation achats Customizing</w:t>
            </w:r>
          </w:p>
        </w:tc>
      </w:tr>
    </w:tbl>
    <w:p w:rsidR="007131BF" w:rsidRPr="008C09F1" w:rsidRDefault="007131BF" w:rsidP="008C09F1">
      <w:pPr>
        <w:jc w:val="both"/>
        <w:rPr>
          <w:b/>
          <w:sz w:val="28"/>
          <w:szCs w:val="28"/>
        </w:rPr>
      </w:pPr>
    </w:p>
    <w:p w:rsidR="007131BF" w:rsidRPr="008C09F1" w:rsidRDefault="007131BF" w:rsidP="008C09F1">
      <w:pPr>
        <w:pStyle w:val="Titre1"/>
        <w:jc w:val="both"/>
      </w:pPr>
      <w:bookmarkStart w:id="5" w:name="_Toc445111441"/>
      <w:bookmarkStart w:id="6" w:name="_Toc445113840"/>
      <w:r w:rsidRPr="008C09F1">
        <w:t>Description du paramétrage</w:t>
      </w:r>
      <w:bookmarkEnd w:id="5"/>
      <w:bookmarkEnd w:id="6"/>
    </w:p>
    <w:p w:rsidR="007131BF" w:rsidRPr="008C09F1" w:rsidRDefault="007131BF" w:rsidP="008C09F1">
      <w:pPr>
        <w:jc w:val="both"/>
        <w:rPr>
          <w:sz w:val="28"/>
          <w:szCs w:val="28"/>
        </w:rPr>
      </w:pPr>
      <w:bookmarkStart w:id="7" w:name="_Toc445111442"/>
      <w:bookmarkStart w:id="8" w:name="_Toc445113841"/>
    </w:p>
    <w:p w:rsidR="007131BF" w:rsidRPr="008C09F1" w:rsidRDefault="007131BF" w:rsidP="008C09F1">
      <w:pPr>
        <w:jc w:val="both"/>
        <w:rPr>
          <w:sz w:val="28"/>
          <w:szCs w:val="28"/>
        </w:rPr>
      </w:pPr>
      <w:r w:rsidRPr="008C09F1">
        <w:rPr>
          <w:sz w:val="28"/>
          <w:szCs w:val="28"/>
        </w:rPr>
        <w:t>La transaction OX08 permet d’enregistrer la structure organisationnelle.</w:t>
      </w:r>
    </w:p>
    <w:p w:rsidR="007131BF" w:rsidRPr="008C09F1" w:rsidRDefault="007131BF" w:rsidP="008C09F1">
      <w:pPr>
        <w:jc w:val="both"/>
        <w:rPr>
          <w:sz w:val="28"/>
          <w:szCs w:val="28"/>
        </w:rPr>
      </w:pPr>
    </w:p>
    <w:p w:rsidR="007131BF" w:rsidRDefault="007131BF" w:rsidP="008C09F1">
      <w:pPr>
        <w:jc w:val="both"/>
        <w:rPr>
          <w:b/>
          <w:sz w:val="28"/>
          <w:szCs w:val="28"/>
        </w:rPr>
      </w:pPr>
      <w:r w:rsidRPr="008C09F1">
        <w:rPr>
          <w:b/>
          <w:sz w:val="28"/>
          <w:szCs w:val="28"/>
        </w:rPr>
        <w:t>Organisation d’achats</w:t>
      </w:r>
    </w:p>
    <w:p w:rsidR="008C09F1" w:rsidRPr="008C09F1" w:rsidRDefault="008C09F1" w:rsidP="008C09F1">
      <w:pPr>
        <w:jc w:val="both"/>
        <w:rPr>
          <w:b/>
          <w:sz w:val="28"/>
          <w:szCs w:val="28"/>
        </w:rPr>
      </w:pPr>
    </w:p>
    <w:p w:rsidR="007131BF" w:rsidRDefault="007131BF" w:rsidP="008C09F1">
      <w:pPr>
        <w:jc w:val="both"/>
        <w:rPr>
          <w:sz w:val="28"/>
          <w:szCs w:val="28"/>
        </w:rPr>
      </w:pPr>
      <w:r w:rsidRPr="008C09F1">
        <w:rPr>
          <w:sz w:val="28"/>
          <w:szCs w:val="28"/>
        </w:rPr>
        <w:t>Unité structurelle responsable de l'approvisionnement en articles ou services pour une ou plusieurs divisions et de la négociation des conditions générales d’achat avec les fournisseurs. L'organisation d'achats est juridiquement responsable de toutes les opérations d'achat externes.</w:t>
      </w:r>
    </w:p>
    <w:p w:rsidR="009C7AAD" w:rsidRDefault="009C7AAD" w:rsidP="008C09F1">
      <w:pPr>
        <w:jc w:val="both"/>
        <w:rPr>
          <w:sz w:val="28"/>
          <w:szCs w:val="28"/>
        </w:rPr>
      </w:pPr>
    </w:p>
    <w:p w:rsidR="009C7AAD" w:rsidRDefault="009C7AAD" w:rsidP="009C7AAD">
      <w:pPr>
        <w:pStyle w:val="Titre3"/>
        <w:rPr>
          <w:sz w:val="27"/>
          <w:szCs w:val="27"/>
        </w:rPr>
      </w:pPr>
      <w:r>
        <w:t>Gérer organisation d'achats</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Cette activité IMG vous permet de configurer vos organisations d'achats.</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Du point de vue de la gestion des articles et des achats, l'organisation d'achats est responsable du traitement des fonctions d'achats (telles que les demandes d'offres, les commandes, etc.).</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L'organisation d'achats est intégrée comme suit dans l'organigramme :</w:t>
      </w:r>
    </w:p>
    <w:p w:rsidR="009C7AAD" w:rsidRDefault="009C7AAD" w:rsidP="009C7AAD">
      <w:pPr>
        <w:numPr>
          <w:ilvl w:val="0"/>
          <w:numId w:val="3"/>
        </w:numPr>
        <w:spacing w:before="100" w:beforeAutospacing="1" w:after="100" w:afterAutospacing="1"/>
        <w:rPr>
          <w:color w:val="000000"/>
          <w:sz w:val="19"/>
          <w:szCs w:val="19"/>
        </w:rPr>
      </w:pPr>
      <w:r>
        <w:rPr>
          <w:color w:val="000000"/>
          <w:sz w:val="19"/>
          <w:szCs w:val="19"/>
        </w:rPr>
        <w:t>Une organisation d'achats peut être affectée à plusieurs sociétés.</w:t>
      </w:r>
      <w:r>
        <w:rPr>
          <w:color w:val="000000"/>
          <w:sz w:val="19"/>
          <w:szCs w:val="19"/>
        </w:rPr>
        <w:br/>
        <w:t>(= achats au niveau du groupe)</w:t>
      </w:r>
    </w:p>
    <w:p w:rsidR="009C7AAD" w:rsidRDefault="009C7AAD" w:rsidP="009C7AAD">
      <w:pPr>
        <w:numPr>
          <w:ilvl w:val="0"/>
          <w:numId w:val="4"/>
        </w:numPr>
        <w:spacing w:before="100" w:beforeAutospacing="1" w:after="100" w:afterAutospacing="1"/>
        <w:rPr>
          <w:color w:val="000000"/>
          <w:sz w:val="19"/>
          <w:szCs w:val="19"/>
        </w:rPr>
      </w:pPr>
      <w:r>
        <w:rPr>
          <w:color w:val="000000"/>
          <w:sz w:val="19"/>
          <w:szCs w:val="19"/>
        </w:rPr>
        <w:t>Une organisation d'achats peut être affectée à une société.</w:t>
      </w:r>
      <w:r>
        <w:rPr>
          <w:color w:val="000000"/>
          <w:sz w:val="19"/>
          <w:szCs w:val="19"/>
        </w:rPr>
        <w:br/>
        <w:t>(= achats au niveau de la société)</w:t>
      </w:r>
    </w:p>
    <w:p w:rsidR="009C7AAD" w:rsidRDefault="009C7AAD" w:rsidP="009C7AAD">
      <w:pPr>
        <w:numPr>
          <w:ilvl w:val="0"/>
          <w:numId w:val="5"/>
        </w:numPr>
        <w:spacing w:before="100" w:beforeAutospacing="1" w:after="100" w:afterAutospacing="1"/>
        <w:rPr>
          <w:color w:val="000000"/>
          <w:sz w:val="19"/>
          <w:szCs w:val="19"/>
        </w:rPr>
      </w:pPr>
      <w:r>
        <w:rPr>
          <w:color w:val="000000"/>
          <w:sz w:val="19"/>
          <w:szCs w:val="19"/>
        </w:rPr>
        <w:t>Une organisation d'achats peut ne pas être affectée à une société.</w:t>
      </w:r>
    </w:p>
    <w:p w:rsidR="009C7AAD" w:rsidRDefault="009C7AAD" w:rsidP="009C7AAD">
      <w:pPr>
        <w:numPr>
          <w:ilvl w:val="1"/>
          <w:numId w:val="6"/>
        </w:numPr>
        <w:spacing w:before="100" w:beforeAutospacing="1" w:after="100" w:afterAutospacing="1"/>
        <w:rPr>
          <w:color w:val="000000"/>
          <w:sz w:val="19"/>
          <w:szCs w:val="19"/>
        </w:rPr>
      </w:pPr>
      <w:r>
        <w:rPr>
          <w:color w:val="000000"/>
          <w:sz w:val="19"/>
          <w:szCs w:val="19"/>
        </w:rPr>
        <w:t>Chaque division devant être affectée à une société, la société peut être déterminée via la division lors de chaque opération d'approvisionnement, même si l'organisation d'achats à appprovisionner n'est pas affectée à une société.</w:t>
      </w:r>
    </w:p>
    <w:p w:rsidR="009C7AAD" w:rsidRDefault="009C7AAD" w:rsidP="009C7AAD">
      <w:pPr>
        <w:numPr>
          <w:ilvl w:val="0"/>
          <w:numId w:val="7"/>
        </w:numPr>
        <w:spacing w:before="100" w:beforeAutospacing="1" w:after="100" w:afterAutospacing="1"/>
        <w:rPr>
          <w:color w:val="000000"/>
          <w:sz w:val="19"/>
          <w:szCs w:val="19"/>
        </w:rPr>
      </w:pPr>
      <w:r>
        <w:rPr>
          <w:color w:val="000000"/>
          <w:sz w:val="19"/>
          <w:szCs w:val="19"/>
        </w:rPr>
        <w:t>Une organisation d'achats doit être affectée à une ou plusieurs divisions.</w:t>
      </w:r>
      <w:r>
        <w:rPr>
          <w:color w:val="000000"/>
          <w:sz w:val="19"/>
          <w:szCs w:val="19"/>
        </w:rPr>
        <w:br/>
        <w:t>(= achats au niveau de la division)</w:t>
      </w:r>
    </w:p>
    <w:p w:rsidR="009C7AAD" w:rsidRDefault="009C7AAD" w:rsidP="009C7AAD">
      <w:pPr>
        <w:numPr>
          <w:ilvl w:val="0"/>
          <w:numId w:val="8"/>
        </w:numPr>
        <w:spacing w:before="100" w:beforeAutospacing="1" w:after="100" w:afterAutospacing="1"/>
        <w:rPr>
          <w:color w:val="000000"/>
          <w:sz w:val="19"/>
          <w:szCs w:val="19"/>
        </w:rPr>
      </w:pPr>
      <w:r>
        <w:rPr>
          <w:color w:val="000000"/>
          <w:sz w:val="19"/>
          <w:szCs w:val="19"/>
        </w:rPr>
        <w:t>Une organisation d'achats peut être affectée à une ou plusieurs autres organisations d'achats.</w:t>
      </w:r>
      <w:r>
        <w:rPr>
          <w:color w:val="000000"/>
          <w:sz w:val="19"/>
          <w:szCs w:val="19"/>
        </w:rPr>
        <w:br/>
        <w:t xml:space="preserve">Pour plus d'informations, consultez le chapitre </w:t>
      </w:r>
      <w:hyperlink r:id="rId8" w:history="1">
        <w:r>
          <w:rPr>
            <w:rStyle w:val="Lienhypertexte"/>
            <w:b/>
            <w:bCs/>
            <w:sz w:val="19"/>
            <w:szCs w:val="19"/>
          </w:rPr>
          <w:t>Affecter organisation d'achats à organisation d'achats de référence</w:t>
        </w:r>
      </w:hyperlink>
      <w:r>
        <w:rPr>
          <w:color w:val="000000"/>
          <w:sz w:val="19"/>
          <w:szCs w:val="19"/>
        </w:rPr>
        <w:t>.</w:t>
      </w:r>
    </w:p>
    <w:p w:rsidR="009C7AAD" w:rsidRDefault="009C7AAD" w:rsidP="009C7AAD">
      <w:pPr>
        <w:numPr>
          <w:ilvl w:val="0"/>
          <w:numId w:val="9"/>
        </w:numPr>
        <w:spacing w:before="100" w:beforeAutospacing="1" w:after="100" w:afterAutospacing="1"/>
        <w:rPr>
          <w:color w:val="000000"/>
          <w:sz w:val="19"/>
          <w:szCs w:val="19"/>
        </w:rPr>
      </w:pPr>
      <w:r>
        <w:rPr>
          <w:color w:val="000000"/>
          <w:sz w:val="19"/>
          <w:szCs w:val="19"/>
        </w:rPr>
        <w:t>Une organisation d'achats peut être divisée en plusieurs groupes d'acheteurs responsables de différents secteurs.</w:t>
      </w:r>
    </w:p>
    <w:p w:rsidR="009C7AAD" w:rsidRDefault="009C7AAD" w:rsidP="009C7AAD">
      <w:pPr>
        <w:numPr>
          <w:ilvl w:val="0"/>
          <w:numId w:val="10"/>
        </w:numPr>
        <w:spacing w:before="100" w:beforeAutospacing="1" w:after="100" w:afterAutospacing="1"/>
        <w:rPr>
          <w:color w:val="000000"/>
          <w:sz w:val="19"/>
          <w:szCs w:val="19"/>
        </w:rPr>
      </w:pPr>
      <w:r>
        <w:rPr>
          <w:color w:val="000000"/>
          <w:sz w:val="19"/>
          <w:szCs w:val="19"/>
        </w:rPr>
        <w:lastRenderedPageBreak/>
        <w:t>Chaque organisation d'achats a ses propres fiches infos-achats et conditions pour la détermination des prix.</w:t>
      </w:r>
    </w:p>
    <w:p w:rsidR="009C7AAD" w:rsidRDefault="009C7AAD" w:rsidP="009C7AAD">
      <w:pPr>
        <w:numPr>
          <w:ilvl w:val="0"/>
          <w:numId w:val="11"/>
        </w:numPr>
        <w:spacing w:before="100" w:beforeAutospacing="1" w:after="100" w:afterAutospacing="1"/>
        <w:rPr>
          <w:color w:val="000000"/>
          <w:sz w:val="19"/>
          <w:szCs w:val="19"/>
        </w:rPr>
      </w:pPr>
      <w:r>
        <w:rPr>
          <w:color w:val="000000"/>
          <w:sz w:val="19"/>
          <w:szCs w:val="19"/>
        </w:rPr>
        <w:t>Chaque organisation d'achats a ses propres données de base fournisseur.</w:t>
      </w:r>
    </w:p>
    <w:p w:rsidR="009C7AAD" w:rsidRDefault="009C7AAD" w:rsidP="009C7AAD">
      <w:pPr>
        <w:numPr>
          <w:ilvl w:val="0"/>
          <w:numId w:val="12"/>
        </w:numPr>
        <w:spacing w:before="100" w:beforeAutospacing="1" w:after="100" w:afterAutospacing="1"/>
        <w:rPr>
          <w:color w:val="000000"/>
          <w:sz w:val="19"/>
          <w:szCs w:val="19"/>
        </w:rPr>
      </w:pPr>
      <w:r>
        <w:rPr>
          <w:color w:val="000000"/>
          <w:sz w:val="19"/>
          <w:szCs w:val="19"/>
        </w:rPr>
        <w:t>Chaque organisation d'achats évalue ses propres fournisseurs via l'évaluation des fournisseurs MM.</w:t>
      </w:r>
    </w:p>
    <w:p w:rsidR="009C7AAD" w:rsidRDefault="009C7AAD" w:rsidP="009C7AAD">
      <w:pPr>
        <w:numPr>
          <w:ilvl w:val="0"/>
          <w:numId w:val="13"/>
        </w:numPr>
        <w:spacing w:before="100" w:beforeAutospacing="1" w:after="100" w:afterAutospacing="1"/>
        <w:rPr>
          <w:color w:val="000000"/>
          <w:sz w:val="19"/>
          <w:szCs w:val="19"/>
        </w:rPr>
      </w:pPr>
      <w:r>
        <w:rPr>
          <w:color w:val="000000"/>
          <w:sz w:val="19"/>
          <w:szCs w:val="19"/>
        </w:rPr>
        <w:t>Les autorisations pour le traitement des opérations d'achat peuvent être attribuées à chaque organisation d'achats.</w:t>
      </w:r>
    </w:p>
    <w:p w:rsidR="009C7AAD" w:rsidRDefault="009C7AAD" w:rsidP="009C7AAD">
      <w:pPr>
        <w:numPr>
          <w:ilvl w:val="0"/>
          <w:numId w:val="14"/>
        </w:numPr>
        <w:spacing w:before="100" w:beforeAutospacing="1" w:after="100" w:afterAutospacing="1"/>
        <w:rPr>
          <w:color w:val="000000"/>
          <w:sz w:val="19"/>
          <w:szCs w:val="19"/>
        </w:rPr>
      </w:pPr>
      <w:r>
        <w:rPr>
          <w:color w:val="000000"/>
          <w:sz w:val="19"/>
          <w:szCs w:val="19"/>
        </w:rPr>
        <w:t>Tous les postes d'un document d'achat, à savoir une demande d'offres, une commande, un contrat ou un programme de livraison dépendent d'une organisation d'achats.</w:t>
      </w:r>
    </w:p>
    <w:p w:rsidR="009C7AAD" w:rsidRDefault="009C7AAD" w:rsidP="009C7AAD">
      <w:pPr>
        <w:numPr>
          <w:ilvl w:val="0"/>
          <w:numId w:val="15"/>
        </w:numPr>
        <w:spacing w:before="100" w:beforeAutospacing="1" w:after="100" w:afterAutospacing="1"/>
        <w:rPr>
          <w:color w:val="000000"/>
          <w:sz w:val="19"/>
          <w:szCs w:val="19"/>
        </w:rPr>
      </w:pPr>
      <w:r>
        <w:rPr>
          <w:color w:val="000000"/>
          <w:sz w:val="19"/>
          <w:szCs w:val="19"/>
        </w:rPr>
        <w:t>L'organisation d'achats correspond au niveau le plus élevé de totalisation des statistiques d'achats, après l'unité structurelle Mandant.</w:t>
      </w:r>
    </w:p>
    <w:p w:rsidR="009C7AAD" w:rsidRDefault="009C7AAD" w:rsidP="009C7AAD">
      <w:pPr>
        <w:numPr>
          <w:ilvl w:val="0"/>
          <w:numId w:val="16"/>
        </w:numPr>
        <w:spacing w:before="100" w:beforeAutospacing="1" w:after="100" w:afterAutospacing="1"/>
        <w:rPr>
          <w:color w:val="000000"/>
          <w:sz w:val="19"/>
          <w:szCs w:val="19"/>
        </w:rPr>
      </w:pPr>
      <w:r>
        <w:rPr>
          <w:color w:val="000000"/>
          <w:sz w:val="19"/>
          <w:szCs w:val="19"/>
        </w:rPr>
        <w:t>L'organisation d'achats sert de critère de sélection pour les listes relatives à tous les documents d'achats.</w:t>
      </w:r>
    </w:p>
    <w:p w:rsidR="009C7AAD" w:rsidRDefault="009C7AAD" w:rsidP="009C7AAD">
      <w:pPr>
        <w:pStyle w:val="NormalWeb"/>
        <w:rPr>
          <w:rFonts w:ascii="Arial" w:hAnsi="Arial" w:cs="Arial"/>
          <w:color w:val="000000"/>
          <w:sz w:val="19"/>
          <w:szCs w:val="19"/>
        </w:rPr>
      </w:pPr>
      <w:r>
        <w:rPr>
          <w:rStyle w:val="lev"/>
          <w:rFonts w:ascii="Arial" w:hAnsi="Arial" w:cs="Arial"/>
          <w:color w:val="000000"/>
          <w:sz w:val="19"/>
          <w:szCs w:val="19"/>
        </w:rPr>
        <w:t>Formes d'organisation possibles</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Vous pouvez organiser comme suit vos achats :</w:t>
      </w:r>
    </w:p>
    <w:p w:rsidR="009C7AAD" w:rsidRDefault="009C7AAD" w:rsidP="009C7AAD">
      <w:pPr>
        <w:numPr>
          <w:ilvl w:val="0"/>
          <w:numId w:val="17"/>
        </w:numPr>
        <w:spacing w:before="100" w:beforeAutospacing="1" w:after="100" w:afterAutospacing="1"/>
        <w:rPr>
          <w:color w:val="000000"/>
          <w:sz w:val="19"/>
          <w:szCs w:val="19"/>
        </w:rPr>
      </w:pPr>
      <w:r>
        <w:rPr>
          <w:color w:val="000000"/>
          <w:sz w:val="19"/>
          <w:szCs w:val="19"/>
        </w:rPr>
        <w:t>Achats au niveau du groupe</w:t>
      </w:r>
    </w:p>
    <w:p w:rsidR="009C7AAD" w:rsidRDefault="009C7AAD" w:rsidP="009C7AAD">
      <w:pPr>
        <w:numPr>
          <w:ilvl w:val="0"/>
          <w:numId w:val="18"/>
        </w:numPr>
        <w:spacing w:before="100" w:beforeAutospacing="1" w:after="100" w:afterAutospacing="1"/>
        <w:rPr>
          <w:color w:val="000000"/>
          <w:sz w:val="19"/>
          <w:szCs w:val="19"/>
        </w:rPr>
      </w:pPr>
      <w:r>
        <w:rPr>
          <w:color w:val="000000"/>
          <w:sz w:val="19"/>
          <w:szCs w:val="19"/>
        </w:rPr>
        <w:t>Achats au niveau de la société</w:t>
      </w:r>
    </w:p>
    <w:p w:rsidR="009C7AAD" w:rsidRDefault="009C7AAD" w:rsidP="009C7AAD">
      <w:pPr>
        <w:numPr>
          <w:ilvl w:val="0"/>
          <w:numId w:val="19"/>
        </w:numPr>
        <w:spacing w:before="100" w:beforeAutospacing="1" w:after="100" w:afterAutospacing="1"/>
        <w:rPr>
          <w:color w:val="000000"/>
          <w:sz w:val="19"/>
          <w:szCs w:val="19"/>
        </w:rPr>
      </w:pPr>
      <w:r>
        <w:rPr>
          <w:color w:val="000000"/>
          <w:sz w:val="19"/>
          <w:szCs w:val="19"/>
        </w:rPr>
        <w:t>Achats au niveau de la division</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Toutes ces formes peuvent figurer dans un même mandant.</w:t>
      </w:r>
    </w:p>
    <w:p w:rsidR="009C7AAD" w:rsidRDefault="009C7AAD" w:rsidP="009C7AAD">
      <w:pPr>
        <w:pStyle w:val="NormalWeb"/>
        <w:rPr>
          <w:rFonts w:ascii="Arial" w:hAnsi="Arial" w:cs="Arial"/>
          <w:color w:val="000000"/>
          <w:sz w:val="19"/>
          <w:szCs w:val="19"/>
        </w:rPr>
      </w:pPr>
      <w:r>
        <w:rPr>
          <w:rFonts w:ascii="Arial" w:hAnsi="Arial" w:cs="Arial"/>
          <w:b/>
          <w:bCs/>
          <w:color w:val="000000"/>
          <w:sz w:val="19"/>
          <w:szCs w:val="19"/>
        </w:rPr>
        <w:t>Achats au niveau du groupe :</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Une organisation d'achats est responsable des activités d'achats des différentes sociétés.</w:t>
      </w:r>
      <w:r>
        <w:rPr>
          <w:rFonts w:ascii="Arial" w:hAnsi="Arial" w:cs="Arial"/>
          <w:color w:val="000000"/>
          <w:sz w:val="19"/>
          <w:szCs w:val="19"/>
        </w:rPr>
        <w:br/>
        <w:t>Dans ce cas, vous n'affectez pas de société à l'organisation d'achats mais vous indiquez pour chaque opération d'achat la société concernée. Vous affectez à l'organisation d'achats des divisions issues de différentes sociétés.</w:t>
      </w:r>
    </w:p>
    <w:p w:rsidR="009C7AAD" w:rsidRDefault="009C7AAD" w:rsidP="009C7AAD">
      <w:pPr>
        <w:pStyle w:val="NormalWeb"/>
        <w:rPr>
          <w:rFonts w:ascii="Arial" w:hAnsi="Arial" w:cs="Arial"/>
          <w:color w:val="000000"/>
          <w:sz w:val="19"/>
          <w:szCs w:val="19"/>
        </w:rPr>
      </w:pPr>
      <w:r>
        <w:rPr>
          <w:rFonts w:ascii="Arial" w:hAnsi="Arial" w:cs="Arial"/>
          <w:b/>
          <w:bCs/>
          <w:color w:val="000000"/>
          <w:sz w:val="19"/>
          <w:szCs w:val="19"/>
        </w:rPr>
        <w:t>Achats au niveau de la société :</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Une organisation d'achats est responsable des activités d'achat d'une société exactement.</w:t>
      </w:r>
      <w:r>
        <w:rPr>
          <w:rFonts w:ascii="Arial" w:hAnsi="Arial" w:cs="Arial"/>
          <w:color w:val="000000"/>
          <w:sz w:val="19"/>
          <w:szCs w:val="19"/>
        </w:rPr>
        <w:br/>
        <w:t>Dans ce cas, vous affectez une société à l'organisation d'achats. L'organisation d'achats peut approvisionner cette société uniquement. Vous affectez à cette organisation d'achats des divisions appartenant à cette société uniquement.</w:t>
      </w:r>
    </w:p>
    <w:p w:rsidR="009C7AAD" w:rsidRDefault="009C7AAD" w:rsidP="009C7AAD">
      <w:pPr>
        <w:pStyle w:val="NormalWeb"/>
        <w:rPr>
          <w:rFonts w:ascii="Arial" w:hAnsi="Arial" w:cs="Arial"/>
          <w:color w:val="000000"/>
          <w:sz w:val="19"/>
          <w:szCs w:val="19"/>
        </w:rPr>
      </w:pPr>
      <w:r>
        <w:rPr>
          <w:rFonts w:ascii="Arial" w:hAnsi="Arial" w:cs="Arial"/>
          <w:b/>
          <w:bCs/>
          <w:color w:val="000000"/>
          <w:sz w:val="19"/>
          <w:szCs w:val="19"/>
        </w:rPr>
        <w:t>Achats au niveau de la division :</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Une organisation d'achats est responsable des activités d'achat d'une division.</w:t>
      </w:r>
      <w:r>
        <w:rPr>
          <w:rFonts w:ascii="Arial" w:hAnsi="Arial" w:cs="Arial"/>
          <w:color w:val="000000"/>
          <w:sz w:val="19"/>
          <w:szCs w:val="19"/>
        </w:rPr>
        <w:br/>
        <w:t>Dans ce cas, vous affectez la division et sa société à l'organisation d'achats. L'organisation d'achats peut alors approvisionner cette division uniquement.</w:t>
      </w:r>
    </w:p>
    <w:p w:rsidR="009C7AAD" w:rsidRDefault="009C7AAD" w:rsidP="009C7AAD">
      <w:pPr>
        <w:pStyle w:val="NormalWeb"/>
        <w:rPr>
          <w:rFonts w:ascii="Arial" w:hAnsi="Arial" w:cs="Arial"/>
          <w:color w:val="000000"/>
          <w:sz w:val="19"/>
          <w:szCs w:val="19"/>
        </w:rPr>
      </w:pPr>
      <w:r>
        <w:rPr>
          <w:rStyle w:val="lev"/>
          <w:rFonts w:ascii="Arial" w:hAnsi="Arial" w:cs="Arial"/>
          <w:color w:val="000000"/>
          <w:sz w:val="19"/>
          <w:szCs w:val="19"/>
        </w:rPr>
        <w:t>Remarque</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 xml:space="preserve">Si vous souhaitez travailler avec une combinaison de ces trois formes d'organisation, vous pouvez utiliser </w:t>
      </w:r>
      <w:r>
        <w:rPr>
          <w:rFonts w:ascii="Arial" w:hAnsi="Arial" w:cs="Arial"/>
          <w:b/>
          <w:bCs/>
          <w:color w:val="000000"/>
          <w:sz w:val="19"/>
          <w:szCs w:val="19"/>
        </w:rPr>
        <w:t>l'organisation d'achats de référence</w:t>
      </w:r>
      <w:r>
        <w:rPr>
          <w:rFonts w:ascii="Arial" w:hAnsi="Arial" w:cs="Arial"/>
          <w:color w:val="000000"/>
          <w:sz w:val="19"/>
          <w:szCs w:val="19"/>
        </w:rPr>
        <w:t>.</w:t>
      </w:r>
      <w:r>
        <w:rPr>
          <w:rFonts w:ascii="Arial" w:hAnsi="Arial" w:cs="Arial"/>
          <w:color w:val="000000"/>
          <w:sz w:val="19"/>
          <w:szCs w:val="19"/>
        </w:rPr>
        <w:br/>
        <w:t>Une organisation d'achats peut se voir attribuer l'autorisation d'accès aux contrats et aux conditions d'une autre organisation d'achats, il s'agit alors d'une organisation d'achats de référence. Les conditions préférentielles négociées par une organisation d'achats donnée peuvent ainsi être utilisées par d'autres organisations d'achats.</w:t>
      </w:r>
    </w:p>
    <w:p w:rsidR="009C7AAD" w:rsidRDefault="009C7AAD" w:rsidP="009C7AAD">
      <w:pPr>
        <w:pStyle w:val="NormalWeb"/>
        <w:rPr>
          <w:rFonts w:ascii="Arial" w:hAnsi="Arial" w:cs="Arial"/>
          <w:color w:val="000000"/>
          <w:sz w:val="19"/>
          <w:szCs w:val="19"/>
        </w:rPr>
      </w:pPr>
      <w:r>
        <w:rPr>
          <w:rStyle w:val="lev"/>
          <w:rFonts w:ascii="Arial" w:hAnsi="Arial" w:cs="Arial"/>
          <w:color w:val="000000"/>
          <w:sz w:val="19"/>
          <w:szCs w:val="19"/>
        </w:rPr>
        <w:t>Recommandation</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L'organisation d'achats 0001 est déjà paramétrée dans toutes les tables dépendantes.</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lastRenderedPageBreak/>
        <w:t>Nous vous recommandons de conserver ce numéro si vous avez besoin d'une organisation d'achats uniquement.</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Ainsi, vous devez adapter un nombre restreint de tables.</w:t>
      </w:r>
    </w:p>
    <w:p w:rsidR="009C7AAD" w:rsidRDefault="009C7AAD" w:rsidP="009C7AAD">
      <w:pPr>
        <w:pStyle w:val="NormalWeb"/>
        <w:rPr>
          <w:rFonts w:ascii="Arial" w:hAnsi="Arial" w:cs="Arial"/>
          <w:color w:val="000000"/>
          <w:sz w:val="19"/>
          <w:szCs w:val="19"/>
        </w:rPr>
      </w:pPr>
      <w:r>
        <w:rPr>
          <w:rStyle w:val="lev"/>
          <w:rFonts w:ascii="Arial" w:hAnsi="Arial" w:cs="Arial"/>
          <w:color w:val="000000"/>
          <w:sz w:val="19"/>
          <w:szCs w:val="19"/>
        </w:rPr>
        <w:t>Activités</w:t>
      </w:r>
    </w:p>
    <w:p w:rsidR="009C7AAD" w:rsidRDefault="009C7AAD" w:rsidP="009C7AAD">
      <w:pPr>
        <w:pStyle w:val="NormalWeb"/>
        <w:rPr>
          <w:rFonts w:ascii="Arial" w:hAnsi="Arial" w:cs="Arial"/>
          <w:color w:val="000000"/>
          <w:sz w:val="19"/>
          <w:szCs w:val="19"/>
        </w:rPr>
      </w:pPr>
      <w:r>
        <w:rPr>
          <w:rFonts w:ascii="Arial" w:hAnsi="Arial" w:cs="Arial"/>
          <w:color w:val="000000"/>
          <w:sz w:val="19"/>
          <w:szCs w:val="19"/>
        </w:rPr>
        <w:t>Créez vos organisations d'achats.</w:t>
      </w:r>
    </w:p>
    <w:p w:rsidR="009C7AAD" w:rsidRPr="008C09F1" w:rsidRDefault="009C7AAD" w:rsidP="008C09F1">
      <w:pPr>
        <w:jc w:val="both"/>
        <w:rPr>
          <w:sz w:val="28"/>
          <w:szCs w:val="28"/>
        </w:rPr>
      </w:pPr>
    </w:p>
    <w:p w:rsidR="007131BF" w:rsidRPr="008C09F1" w:rsidRDefault="007131BF" w:rsidP="008C09F1">
      <w:pPr>
        <w:jc w:val="both"/>
        <w:rPr>
          <w:sz w:val="28"/>
          <w:szCs w:val="28"/>
        </w:rPr>
      </w:pPr>
    </w:p>
    <w:p w:rsidR="007131BF" w:rsidRPr="008C09F1" w:rsidRDefault="007131BF" w:rsidP="008C09F1">
      <w:pPr>
        <w:pStyle w:val="Titre1"/>
        <w:jc w:val="both"/>
      </w:pPr>
      <w:r w:rsidRPr="008C09F1">
        <w:t>Contenu de la table</w:t>
      </w:r>
      <w:bookmarkEnd w:id="7"/>
      <w:bookmarkEnd w:id="8"/>
    </w:p>
    <w:p w:rsidR="007131BF" w:rsidRPr="008C09F1" w:rsidRDefault="007131BF" w:rsidP="008C09F1">
      <w:pPr>
        <w:jc w:val="both"/>
        <w:rPr>
          <w:sz w:val="28"/>
          <w:szCs w:val="28"/>
        </w:rPr>
      </w:pPr>
    </w:p>
    <w:p w:rsidR="008C09F1" w:rsidRDefault="008C09F1" w:rsidP="008C09F1">
      <w:pPr>
        <w:jc w:val="both"/>
        <w:rPr>
          <w:sz w:val="28"/>
          <w:szCs w:val="28"/>
        </w:rPr>
      </w:pPr>
    </w:p>
    <w:p w:rsidR="008C09F1" w:rsidRDefault="008A12E0" w:rsidP="008C09F1">
      <w:pPr>
        <w:jc w:val="both"/>
        <w:rPr>
          <w:sz w:val="28"/>
          <w:szCs w:val="28"/>
        </w:rPr>
      </w:pPr>
      <w:r>
        <w:rPr>
          <w:noProof/>
          <w:sz w:val="28"/>
          <w:szCs w:val="28"/>
        </w:rPr>
        <w:drawing>
          <wp:inline distT="0" distB="0" distL="0" distR="0">
            <wp:extent cx="6469380" cy="4853940"/>
            <wp:effectExtent l="19050" t="19050" r="26670" b="2286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9380" cy="4853940"/>
                    </a:xfrm>
                    <a:prstGeom prst="rect">
                      <a:avLst/>
                    </a:prstGeom>
                    <a:noFill/>
                    <a:ln w="6350" cmpd="sng">
                      <a:solidFill>
                        <a:srgbClr val="000000"/>
                      </a:solidFill>
                      <a:miter lim="800000"/>
                      <a:headEnd/>
                      <a:tailEnd/>
                    </a:ln>
                    <a:effectLst/>
                  </pic:spPr>
                </pic:pic>
              </a:graphicData>
            </a:graphic>
          </wp:inline>
        </w:drawing>
      </w:r>
    </w:p>
    <w:p w:rsidR="008C09F1" w:rsidRDefault="008C09F1" w:rsidP="008C09F1">
      <w:pPr>
        <w:jc w:val="both"/>
        <w:rPr>
          <w:sz w:val="28"/>
          <w:szCs w:val="28"/>
        </w:rPr>
      </w:pPr>
    </w:p>
    <w:p w:rsidR="00E65D7A" w:rsidRPr="008C09F1" w:rsidRDefault="00E65D7A" w:rsidP="008C09F1">
      <w:pPr>
        <w:jc w:val="both"/>
        <w:rPr>
          <w:sz w:val="28"/>
          <w:szCs w:val="28"/>
        </w:rPr>
      </w:pPr>
    </w:p>
    <w:p w:rsidR="00E65D7A" w:rsidRPr="008C09F1" w:rsidRDefault="00E65D7A" w:rsidP="008C09F1">
      <w:pPr>
        <w:jc w:val="both"/>
        <w:rPr>
          <w:sz w:val="28"/>
          <w:szCs w:val="28"/>
        </w:rPr>
      </w:pPr>
    </w:p>
    <w:p w:rsidR="00E65D7A" w:rsidRPr="008C09F1" w:rsidRDefault="00E65D7A" w:rsidP="008C09F1">
      <w:pPr>
        <w:jc w:val="both"/>
        <w:rPr>
          <w:sz w:val="28"/>
          <w:szCs w:val="28"/>
        </w:rPr>
      </w:pPr>
    </w:p>
    <w:p w:rsidR="00E65D7A" w:rsidRPr="008C09F1" w:rsidRDefault="00E65D7A" w:rsidP="008C09F1">
      <w:pPr>
        <w:jc w:val="both"/>
        <w:rPr>
          <w:sz w:val="28"/>
          <w:szCs w:val="28"/>
        </w:rPr>
      </w:pPr>
    </w:p>
    <w:sectPr w:rsidR="00E65D7A" w:rsidRPr="008C09F1">
      <w:headerReference w:type="even" r:id="rId10"/>
      <w:headerReference w:type="default" r:id="rId11"/>
      <w:footerReference w:type="even" r:id="rId12"/>
      <w:footerReference w:type="default" r:id="rId13"/>
      <w:headerReference w:type="first" r:id="rId14"/>
      <w:footerReference w:type="first" r:id="rId15"/>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19C" w:rsidRDefault="0099719C">
      <w:r>
        <w:separator/>
      </w:r>
    </w:p>
  </w:endnote>
  <w:endnote w:type="continuationSeparator" w:id="0">
    <w:p w:rsidR="0099719C" w:rsidRDefault="0099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1BF" w:rsidRDefault="007131B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w:t>
    </w:r>
    <w:r>
      <w:rPr>
        <w:rStyle w:val="Numrodepage"/>
      </w:rPr>
      <w:fldChar w:fldCharType="end"/>
    </w:r>
  </w:p>
  <w:p w:rsidR="007131BF" w:rsidRDefault="007131BF">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1BF" w:rsidRDefault="007131BF">
    <w:pPr>
      <w:pStyle w:val="Pieddepage"/>
      <w:pBdr>
        <w:top w:val="single" w:sz="6" w:space="1" w:color="auto"/>
      </w:pBdr>
      <w:tabs>
        <w:tab w:val="clear" w:pos="9072"/>
        <w:tab w:val="right" w:pos="10206"/>
      </w:tabs>
      <w:ind w:right="-1"/>
    </w:pPr>
    <w:fldSimple w:instr=" FILENAME \p \* MERGEFORMAT ">
      <w:r w:rsidR="006D73BC">
        <w:rPr>
          <w:noProof/>
        </w:rPr>
        <w:t>D:\SAP\KIT\Fiches paramètrage Achats\FPM-SAP ECC-Création organisation d'achat.doc</w:t>
      </w:r>
    </w:fldSimple>
    <w:r>
      <w:tab/>
    </w:r>
    <w:r>
      <w:fldChar w:fldCharType="begin"/>
    </w:r>
    <w:r>
      <w:instrText xml:space="preserve"> PAGE \* MERGEFORMAT </w:instrText>
    </w:r>
    <w:r>
      <w:fldChar w:fldCharType="separate"/>
    </w:r>
    <w:r w:rsidR="008A12E0">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AAD" w:rsidRDefault="009C7AA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19C" w:rsidRDefault="0099719C">
      <w:r>
        <w:separator/>
      </w:r>
    </w:p>
  </w:footnote>
  <w:footnote w:type="continuationSeparator" w:id="0">
    <w:p w:rsidR="0099719C" w:rsidRDefault="00997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AAD" w:rsidRDefault="009C7AA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7131BF">
      <w:tblPrEx>
        <w:tblCellMar>
          <w:top w:w="0" w:type="dxa"/>
          <w:bottom w:w="0" w:type="dxa"/>
        </w:tblCellMar>
      </w:tblPrEx>
      <w:tc>
        <w:tcPr>
          <w:tcW w:w="2905" w:type="dxa"/>
        </w:tcPr>
        <w:p w:rsidR="007131BF" w:rsidRDefault="007131BF">
          <w:pPr>
            <w:pStyle w:val="En-tte"/>
            <w:jc w:val="center"/>
          </w:pPr>
        </w:p>
      </w:tc>
      <w:tc>
        <w:tcPr>
          <w:tcW w:w="3969" w:type="dxa"/>
        </w:tcPr>
        <w:p w:rsidR="008C09F1" w:rsidRPr="00AF43FA" w:rsidRDefault="009C7AAD" w:rsidP="008C09F1">
          <w:pPr>
            <w:pStyle w:val="en-tteSymris"/>
            <w:spacing w:before="120"/>
            <w:rPr>
              <w:b/>
            </w:rPr>
          </w:pPr>
          <w:r>
            <w:rPr>
              <w:b/>
            </w:rPr>
            <w:t>Copyright ©</w:t>
          </w:r>
          <w:r w:rsidR="008C09F1" w:rsidRPr="00AF43FA">
            <w:rPr>
              <w:b/>
            </w:rPr>
            <w:t xml:space="preserve"> 2009. Tous droits réservés. Mickael QUESNOT</w:t>
          </w:r>
        </w:p>
        <w:p w:rsidR="007131BF" w:rsidRDefault="008C09F1" w:rsidP="008C09F1">
          <w:pPr>
            <w:pStyle w:val="en-tteSymris"/>
            <w:spacing w:before="120"/>
          </w:pPr>
          <w:r>
            <w:rPr>
              <w:b/>
            </w:rPr>
            <w:t>Fiche de paramétrage</w:t>
          </w:r>
        </w:p>
      </w:tc>
      <w:tc>
        <w:tcPr>
          <w:tcW w:w="3402" w:type="dxa"/>
        </w:tcPr>
        <w:p w:rsidR="007131BF" w:rsidRDefault="007131BF">
          <w:pPr>
            <w:pStyle w:val="en-tteSymris"/>
            <w:spacing w:before="120"/>
            <w:rPr>
              <w:b/>
            </w:rPr>
          </w:pPr>
        </w:p>
      </w:tc>
    </w:tr>
    <w:tr w:rsidR="007131BF">
      <w:tblPrEx>
        <w:tblCellMar>
          <w:top w:w="0" w:type="dxa"/>
          <w:bottom w:w="0" w:type="dxa"/>
        </w:tblCellMar>
      </w:tblPrEx>
      <w:trPr>
        <w:cantSplit/>
      </w:trPr>
      <w:tc>
        <w:tcPr>
          <w:tcW w:w="10276" w:type="dxa"/>
          <w:gridSpan w:val="3"/>
        </w:tcPr>
        <w:p w:rsidR="007131BF" w:rsidRDefault="007131BF">
          <w:pPr>
            <w:pStyle w:val="en-tteSymris"/>
            <w:spacing w:before="120"/>
            <w:rPr>
              <w:b/>
            </w:rPr>
          </w:pPr>
          <w:r>
            <w:rPr>
              <w:b/>
            </w:rPr>
            <w:fldChar w:fldCharType="begin"/>
          </w:r>
          <w:r>
            <w:rPr>
              <w:b/>
            </w:rPr>
            <w:instrText xml:space="preserve"> FILENAME  \* MERGEFORMAT </w:instrText>
          </w:r>
          <w:r>
            <w:rPr>
              <w:b/>
            </w:rPr>
            <w:fldChar w:fldCharType="separate"/>
          </w:r>
          <w:r w:rsidR="006D73BC">
            <w:rPr>
              <w:b/>
              <w:noProof/>
            </w:rPr>
            <w:t>FPM-SAP ECC-Création organisation d'achat</w:t>
          </w:r>
          <w:r>
            <w:rPr>
              <w:b/>
            </w:rPr>
            <w:fldChar w:fldCharType="end"/>
          </w:r>
        </w:p>
      </w:tc>
    </w:tr>
  </w:tbl>
  <w:p w:rsidR="007131BF" w:rsidRDefault="007131B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AAD" w:rsidRDefault="009C7AA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992"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9D13C51"/>
    <w:multiLevelType w:val="multilevel"/>
    <w:tmpl w:val="589A6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30D5F"/>
    <w:multiLevelType w:val="multilevel"/>
    <w:tmpl w:val="41361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20BB4"/>
    <w:multiLevelType w:val="multilevel"/>
    <w:tmpl w:val="4D4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E78F9"/>
    <w:multiLevelType w:val="multilevel"/>
    <w:tmpl w:val="5ECE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620498"/>
    <w:multiLevelType w:val="multilevel"/>
    <w:tmpl w:val="FBE2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5339E8"/>
    <w:multiLevelType w:val="multilevel"/>
    <w:tmpl w:val="8DEC3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BF6213"/>
    <w:multiLevelType w:val="singleLevel"/>
    <w:tmpl w:val="69124CD6"/>
    <w:lvl w:ilvl="0">
      <w:start w:val="1"/>
      <w:numFmt w:val="bullet"/>
      <w:lvlText w:val=""/>
      <w:lvlJc w:val="left"/>
      <w:pPr>
        <w:tabs>
          <w:tab w:val="num" w:pos="360"/>
        </w:tabs>
        <w:ind w:left="283" w:hanging="283"/>
      </w:pPr>
      <w:rPr>
        <w:rFonts w:ascii="Symbol" w:hAnsi="Symbol" w:hint="default"/>
        <w:b w:val="0"/>
        <w:i w:val="0"/>
        <w:sz w:val="24"/>
      </w:rPr>
    </w:lvl>
  </w:abstractNum>
  <w:abstractNum w:abstractNumId="8" w15:restartNumberingAfterBreak="0">
    <w:nsid w:val="3E4E6483"/>
    <w:multiLevelType w:val="multilevel"/>
    <w:tmpl w:val="9D32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066C99"/>
    <w:multiLevelType w:val="multilevel"/>
    <w:tmpl w:val="E2F6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88234E"/>
    <w:multiLevelType w:val="multilevel"/>
    <w:tmpl w:val="64A0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AA2B74"/>
    <w:multiLevelType w:val="multilevel"/>
    <w:tmpl w:val="642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A2534C"/>
    <w:multiLevelType w:val="multilevel"/>
    <w:tmpl w:val="9A20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3B63E4"/>
    <w:multiLevelType w:val="multilevel"/>
    <w:tmpl w:val="DEC8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0B027D"/>
    <w:multiLevelType w:val="multilevel"/>
    <w:tmpl w:val="6E786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D10C6C"/>
    <w:multiLevelType w:val="multilevel"/>
    <w:tmpl w:val="5A16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1A27FA"/>
    <w:multiLevelType w:val="multilevel"/>
    <w:tmpl w:val="DC38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3B4294"/>
    <w:multiLevelType w:val="multilevel"/>
    <w:tmpl w:val="BC1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EA62CE"/>
    <w:multiLevelType w:val="multilevel"/>
    <w:tmpl w:val="A650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5"/>
  </w:num>
  <w:num w:numId="4">
    <w:abstractNumId w:val="3"/>
  </w:num>
  <w:num w:numId="5">
    <w:abstractNumId w:val="2"/>
  </w:num>
  <w:num w:numId="6">
    <w:abstractNumId w:val="14"/>
  </w:num>
  <w:num w:numId="7">
    <w:abstractNumId w:val="16"/>
  </w:num>
  <w:num w:numId="8">
    <w:abstractNumId w:val="10"/>
  </w:num>
  <w:num w:numId="9">
    <w:abstractNumId w:val="4"/>
  </w:num>
  <w:num w:numId="10">
    <w:abstractNumId w:val="9"/>
  </w:num>
  <w:num w:numId="11">
    <w:abstractNumId w:val="17"/>
  </w:num>
  <w:num w:numId="12">
    <w:abstractNumId w:val="18"/>
  </w:num>
  <w:num w:numId="13">
    <w:abstractNumId w:val="5"/>
  </w:num>
  <w:num w:numId="14">
    <w:abstractNumId w:val="6"/>
  </w:num>
  <w:num w:numId="15">
    <w:abstractNumId w:val="12"/>
  </w:num>
  <w:num w:numId="16">
    <w:abstractNumId w:val="1"/>
  </w:num>
  <w:num w:numId="17">
    <w:abstractNumId w:val="11"/>
  </w:num>
  <w:num w:numId="18">
    <w:abstractNumId w:val="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142"/>
    <w:rsid w:val="00122EA3"/>
    <w:rsid w:val="003637B0"/>
    <w:rsid w:val="00380142"/>
    <w:rsid w:val="005E3B90"/>
    <w:rsid w:val="006D73BC"/>
    <w:rsid w:val="007131BF"/>
    <w:rsid w:val="008228AB"/>
    <w:rsid w:val="008A12E0"/>
    <w:rsid w:val="008C09F1"/>
    <w:rsid w:val="0099719C"/>
    <w:rsid w:val="009C7AAD"/>
    <w:rsid w:val="00A306FF"/>
    <w:rsid w:val="00A34831"/>
    <w:rsid w:val="00E65D7A"/>
    <w:rsid w:val="00EA12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AA33AF8-B441-48DA-9CC8-8BAA4CE2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4"/>
      <w:szCs w:val="24"/>
    </w:rPr>
  </w:style>
  <w:style w:type="paragraph" w:styleId="Titre1">
    <w:name w:val="heading 1"/>
    <w:basedOn w:val="Normal"/>
    <w:next w:val="Normal"/>
    <w:qFormat/>
    <w:pPr>
      <w:keepNext/>
      <w:numPr>
        <w:numId w:val="1"/>
      </w:numPr>
      <w:spacing w:before="240" w:after="60"/>
      <w:outlineLvl w:val="0"/>
    </w:pPr>
    <w:rPr>
      <w:b/>
      <w:bCs/>
      <w:kern w:val="28"/>
      <w:sz w:val="28"/>
      <w:szCs w:val="28"/>
    </w:rPr>
  </w:style>
  <w:style w:type="paragraph" w:styleId="Titre2">
    <w:name w:val="heading 2"/>
    <w:basedOn w:val="Normal"/>
    <w:next w:val="Normal"/>
    <w:qFormat/>
    <w:pPr>
      <w:keepNext/>
      <w:numPr>
        <w:ilvl w:val="1"/>
        <w:numId w:val="1"/>
      </w:numPr>
      <w:spacing w:before="240" w:after="60"/>
      <w:outlineLvl w:val="1"/>
    </w:pPr>
    <w:rPr>
      <w:b/>
      <w:bCs/>
      <w:i/>
      <w:iCs/>
    </w:rPr>
  </w:style>
  <w:style w:type="paragraph" w:styleId="Titre3">
    <w:name w:val="heading 3"/>
    <w:basedOn w:val="Normal"/>
    <w:next w:val="Normal"/>
    <w:qFormat/>
    <w:pPr>
      <w:keepNext/>
      <w:numPr>
        <w:ilvl w:val="2"/>
        <w:numId w:val="1"/>
      </w:numPr>
      <w:spacing w:before="240" w:after="60"/>
      <w:outlineLvl w:val="2"/>
    </w:pPr>
    <w:rPr>
      <w:b/>
      <w:bCs/>
      <w:i/>
      <w:iCs/>
      <w:u w:val="single"/>
    </w:rPr>
  </w:style>
  <w:style w:type="paragraph" w:styleId="Titre4">
    <w:name w:val="heading 4"/>
    <w:basedOn w:val="Normal"/>
    <w:next w:val="Normal"/>
    <w:qFormat/>
    <w:pPr>
      <w:keepNext/>
      <w:numPr>
        <w:ilvl w:val="3"/>
        <w:numId w:val="1"/>
      </w:numPr>
      <w:spacing w:before="240" w:after="60"/>
      <w:outlineLvl w:val="3"/>
    </w:pPr>
    <w:rPr>
      <w:b/>
      <w:bCs/>
    </w:rPr>
  </w:style>
  <w:style w:type="paragraph" w:styleId="Titre5">
    <w:name w:val="heading 5"/>
    <w:basedOn w:val="Normal"/>
    <w:next w:val="Normal"/>
    <w:qFormat/>
    <w:pPr>
      <w:numPr>
        <w:ilvl w:val="4"/>
        <w:numId w:val="1"/>
      </w:numPr>
      <w:spacing w:before="240" w:after="60"/>
      <w:outlineLvl w:val="4"/>
    </w:pPr>
    <w:rPr>
      <w:sz w:val="22"/>
      <w:szCs w:val="22"/>
    </w:rPr>
  </w:style>
  <w:style w:type="paragraph" w:styleId="Titre6">
    <w:name w:val="heading 6"/>
    <w:basedOn w:val="Normal"/>
    <w:next w:val="Normal"/>
    <w:qFormat/>
    <w:pPr>
      <w:numPr>
        <w:ilvl w:val="5"/>
        <w:numId w:val="1"/>
      </w:numPr>
      <w:spacing w:before="240" w:after="60"/>
      <w:outlineLvl w:val="5"/>
    </w:pPr>
    <w:rPr>
      <w:i/>
      <w:iCs/>
      <w:sz w:val="22"/>
      <w:szCs w:val="22"/>
    </w:rPr>
  </w:style>
  <w:style w:type="paragraph" w:styleId="Titre7">
    <w:name w:val="heading 7"/>
    <w:basedOn w:val="Normal"/>
    <w:next w:val="Normal"/>
    <w:qFormat/>
    <w:pPr>
      <w:numPr>
        <w:ilvl w:val="6"/>
        <w:numId w:val="1"/>
      </w:numPr>
      <w:spacing w:before="240" w:after="60"/>
      <w:outlineLvl w:val="6"/>
    </w:pPr>
    <w:rPr>
      <w:sz w:val="20"/>
      <w:szCs w:val="20"/>
    </w:rPr>
  </w:style>
  <w:style w:type="paragraph" w:styleId="Titre8">
    <w:name w:val="heading 8"/>
    <w:basedOn w:val="Normal"/>
    <w:next w:val="Normal"/>
    <w:qFormat/>
    <w:pPr>
      <w:numPr>
        <w:ilvl w:val="7"/>
        <w:numId w:val="1"/>
      </w:numPr>
      <w:spacing w:before="240" w:after="60"/>
      <w:outlineLvl w:val="7"/>
    </w:pPr>
    <w:rPr>
      <w:i/>
      <w:iCs/>
      <w:sz w:val="20"/>
      <w:szCs w:val="20"/>
    </w:rPr>
  </w:style>
  <w:style w:type="paragraph" w:styleId="Titre9">
    <w:name w:val="heading 9"/>
    <w:basedOn w:val="Normal"/>
    <w:next w:val="Normal"/>
    <w:qFormat/>
    <w:pPr>
      <w:numPr>
        <w:ilvl w:val="8"/>
        <w:numId w:val="1"/>
      </w:numPr>
      <w:spacing w:before="240" w:after="60"/>
      <w:outlineLvl w:val="8"/>
    </w:pPr>
    <w:rPr>
      <w:b/>
      <w:bCs/>
      <w:i/>
      <w:iCs/>
      <w:sz w:val="18"/>
      <w:szCs w:val="1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margeniveau1">
    <w:name w:val="marge niveau1"/>
    <w:basedOn w:val="Titre1"/>
    <w:next w:val="Normal"/>
    <w:pPr>
      <w:suppressLineNumbers/>
      <w:ind w:hanging="283"/>
      <w:jc w:val="both"/>
      <w:outlineLvl w:val="9"/>
    </w:pPr>
    <w:rPr>
      <w:sz w:val="24"/>
      <w:szCs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pPr>
      <w:tabs>
        <w:tab w:val="right" w:pos="9072"/>
      </w:tabs>
    </w:pPr>
    <w:rPr>
      <w:sz w:val="16"/>
      <w:szCs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bCs/>
      <w:caps/>
      <w:color w:val="FF00FF"/>
      <w:sz w:val="28"/>
      <w:szCs w:val="28"/>
    </w:rPr>
  </w:style>
  <w:style w:type="paragraph" w:customStyle="1" w:styleId="TM1tm1">
    <w:name w:val="TM 1.tm 1"/>
    <w:basedOn w:val="Normal"/>
    <w:next w:val="Normal"/>
    <w:pPr>
      <w:tabs>
        <w:tab w:val="right" w:leader="dot" w:pos="10205"/>
      </w:tabs>
      <w:spacing w:before="120" w:after="120"/>
    </w:pPr>
    <w:rPr>
      <w:b/>
      <w:bCs/>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szCs w:val="28"/>
    </w:rPr>
  </w:style>
  <w:style w:type="character" w:styleId="Numrodepage">
    <w:name w:val="page number"/>
    <w:basedOn w:val="Policepardfaut"/>
  </w:style>
  <w:style w:type="paragraph" w:styleId="Retraitcorpsdetexte">
    <w:name w:val="Body Text Indent"/>
    <w:basedOn w:val="Normal"/>
    <w:pPr>
      <w:ind w:left="709"/>
    </w:pPr>
    <w:rPr>
      <w:sz w:val="20"/>
      <w:szCs w:val="20"/>
    </w:rPr>
  </w:style>
  <w:style w:type="paragraph" w:styleId="Corpsdetexte">
    <w:name w:val="Body Text"/>
    <w:basedOn w:val="Normal"/>
    <w:rPr>
      <w:sz w:val="20"/>
      <w:szCs w:val="20"/>
    </w:rPr>
  </w:style>
  <w:style w:type="character" w:styleId="Lienhypertexte">
    <w:name w:val="Hyperlink"/>
    <w:uiPriority w:val="99"/>
    <w:semiHidden/>
    <w:unhideWhenUsed/>
    <w:rsid w:val="009C7AAD"/>
    <w:rPr>
      <w:strike w:val="0"/>
      <w:dstrike w:val="0"/>
      <w:color w:val="0063A4"/>
      <w:u w:val="none"/>
      <w:effect w:val="none"/>
    </w:rPr>
  </w:style>
  <w:style w:type="paragraph" w:styleId="NormalWeb">
    <w:name w:val="Normal (Web)"/>
    <w:basedOn w:val="Normal"/>
    <w:uiPriority w:val="99"/>
    <w:semiHidden/>
    <w:unhideWhenUsed/>
    <w:rsid w:val="009C7AAD"/>
    <w:pPr>
      <w:spacing w:before="100" w:beforeAutospacing="1" w:after="100" w:afterAutospacing="1"/>
    </w:pPr>
    <w:rPr>
      <w:rFonts w:ascii="Times New Roman" w:hAnsi="Times New Roman" w:cs="Times New Roman"/>
    </w:rPr>
  </w:style>
  <w:style w:type="character" w:styleId="lev">
    <w:name w:val="Strong"/>
    <w:uiPriority w:val="22"/>
    <w:qFormat/>
    <w:rsid w:val="009C7A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7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SAPEVENT:DOCU_LINK\DS:SIMG.SIMG_CFMENUSAPCOMKJ"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LVNT01\SAPIENS\Mod&#232;les\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0</TotalTime>
  <Pages>1</Pages>
  <Words>749</Words>
  <Characters>4125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Créer organisation d'achats</vt:lpstr>
    </vt:vector>
  </TitlesOfParts>
  <Company>VALOIS Parfumerie</Company>
  <LinksUpToDate>false</LinksUpToDate>
  <CharactersWithSpaces>4865</CharactersWithSpaces>
  <SharedDoc>false</SharedDoc>
  <HLinks>
    <vt:vector size="6" baseType="variant">
      <vt:variant>
        <vt:i4>2949199</vt:i4>
      </vt:variant>
      <vt:variant>
        <vt:i4>0</vt:i4>
      </vt:variant>
      <vt:variant>
        <vt:i4>0</vt:i4>
      </vt:variant>
      <vt:variant>
        <vt:i4>5</vt:i4>
      </vt:variant>
      <vt:variant>
        <vt:lpwstr>SAPEVENT:DOCU_LINK\DS:SIMG.SIMG_CFMENUSAPCOMKJ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Créer organisation d'achats</dc:title>
  <dc:subject>Créer organisation d'achats</dc:subject>
  <dc:creator>SV/SL</dc:creator>
  <cp:keywords/>
  <dc:description/>
  <cp:lastModifiedBy>Quesnot, Mickael</cp:lastModifiedBy>
  <cp:revision>3</cp:revision>
  <cp:lastPrinted>2010-01-13T18:35:00Z</cp:lastPrinted>
  <dcterms:created xsi:type="dcterms:W3CDTF">2016-03-16T10:55:00Z</dcterms:created>
  <dcterms:modified xsi:type="dcterms:W3CDTF">2016-03-16T10:55:00Z</dcterms:modified>
</cp:coreProperties>
</file>